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886" w:rsidRDefault="00607886" w:rsidP="00607886">
      <w:r w:rsidRPr="00607886">
        <w:rPr>
          <w:rFonts w:ascii="DINPro-Bold" w:hAnsi="DINPro-Bold" w:cs="DINPro-Bold"/>
          <w:b/>
          <w:bCs/>
        </w:rPr>
        <w:t>Цель</w:t>
      </w:r>
      <w:r w:rsidRPr="00607886">
        <w:t>.</w:t>
      </w:r>
      <w:r>
        <w:t xml:space="preserve"> Изучить взаимосвязь хронической болезни почек (ХБП) с сердечно-сосудистыми факторами риска у пациентов с сахарным диабетом 2 типа (СД2).</w:t>
      </w:r>
    </w:p>
    <w:p w:rsidR="00607886" w:rsidRDefault="00607886" w:rsidP="00607886">
      <w:r w:rsidRPr="00607886">
        <w:rPr>
          <w:rFonts w:ascii="DINPro-Bold" w:hAnsi="DINPro-Bold" w:cs="DINPro-Bold"/>
          <w:b/>
          <w:bCs/>
        </w:rPr>
        <w:t>Материалы и методы.</w:t>
      </w:r>
      <w:r>
        <w:rPr>
          <w:rFonts w:ascii="DINPro-Bold" w:hAnsi="DINPro-Bold" w:cs="DINPro-Bold"/>
          <w:b/>
          <w:bCs/>
          <w:i/>
          <w:iCs/>
        </w:rPr>
        <w:t xml:space="preserve"> </w:t>
      </w:r>
      <w:r>
        <w:t>К одномоментному клинико-эпидемиологическому исследованию было привлечено 528 пациентов с СД2 в возрасте 30–69 лет.</w:t>
      </w:r>
      <w:r>
        <w:rPr>
          <w:rFonts w:ascii="DINPro-Bold" w:hAnsi="DINPro-Bold" w:cs="DINPro-Bold"/>
          <w:b/>
          <w:bCs/>
          <w:i/>
          <w:iCs/>
        </w:rPr>
        <w:t xml:space="preserve"> </w:t>
      </w:r>
      <w:r>
        <w:t xml:space="preserve">Всем респондентам заполнялся опросник «ARIC», содержащий данные о социально-демографических, поведенческих факторах риска и показателях качества жизни, а также был определен уровень гликемии, </w:t>
      </w:r>
      <w:proofErr w:type="spellStart"/>
      <w:r>
        <w:t>гликогемоглобина</w:t>
      </w:r>
      <w:proofErr w:type="spellEnd"/>
      <w:r>
        <w:t xml:space="preserve">, креатинина, </w:t>
      </w:r>
      <w:proofErr w:type="spellStart"/>
      <w:r>
        <w:t>микроальбуминурии</w:t>
      </w:r>
      <w:proofErr w:type="spellEnd"/>
      <w:r>
        <w:t xml:space="preserve"> (МАУ) и скорость клубочковой фильтрации (СКФ).</w:t>
      </w:r>
    </w:p>
    <w:p w:rsidR="00607886" w:rsidRDefault="00607886" w:rsidP="00607886">
      <w:r w:rsidRPr="00607886">
        <w:rPr>
          <w:rFonts w:ascii="DINPro-Bold" w:hAnsi="DINPro-Bold" w:cs="DINPro-Bold"/>
          <w:b/>
          <w:bCs/>
        </w:rPr>
        <w:t>Результаты.</w:t>
      </w:r>
      <w:r>
        <w:rPr>
          <w:rFonts w:ascii="DINPro-Bold" w:hAnsi="DINPro-Bold" w:cs="DINPro-Bold"/>
          <w:b/>
          <w:bCs/>
          <w:i/>
          <w:iCs/>
        </w:rPr>
        <w:t xml:space="preserve"> </w:t>
      </w:r>
      <w:r>
        <w:t>Повышение уровня креатинина (</w:t>
      </w:r>
      <w:proofErr w:type="gramStart"/>
      <w:r>
        <w:t>p</w:t>
      </w:r>
      <w:r>
        <w:rPr>
          <w:rFonts w:ascii="Arial" w:hAnsi="Arial" w:cs="Arial"/>
        </w:rPr>
        <w:t>  </w:t>
      </w:r>
      <w:r>
        <w:t>&lt;</w:t>
      </w:r>
      <w:proofErr w:type="gramEnd"/>
      <w:r>
        <w:rPr>
          <w:rFonts w:ascii="Arial" w:hAnsi="Arial" w:cs="Arial"/>
        </w:rPr>
        <w:t>  </w:t>
      </w:r>
      <w:r>
        <w:t>0,001), высокий уровень стресса (p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0,006), снижение СКФ (p</w:t>
      </w:r>
      <w:r>
        <w:rPr>
          <w:rFonts w:ascii="Arial" w:hAnsi="Arial" w:cs="Arial"/>
        </w:rPr>
        <w:t>  </w:t>
      </w:r>
      <w:r>
        <w:t>&lt;</w:t>
      </w:r>
      <w:r>
        <w:rPr>
          <w:rFonts w:ascii="Arial" w:hAnsi="Arial" w:cs="Arial"/>
        </w:rPr>
        <w:t>  </w:t>
      </w:r>
      <w:r>
        <w:t>0,001) сопровождались развитием 300 мг/</w:t>
      </w:r>
      <w:proofErr w:type="spellStart"/>
      <w:r>
        <w:t>дл</w:t>
      </w:r>
      <w:proofErr w:type="spellEnd"/>
      <w:r>
        <w:t xml:space="preserve"> МАУ. У пациентов с альбуминурией чаще наблюдались некоторые проблемы с движением (</w:t>
      </w:r>
      <w:proofErr w:type="gramStart"/>
      <w:r>
        <w:t>p</w:t>
      </w:r>
      <w:r>
        <w:rPr>
          <w:rFonts w:ascii="Arial" w:hAnsi="Arial" w:cs="Arial"/>
        </w:rPr>
        <w:t>  </w:t>
      </w:r>
      <w:r>
        <w:t>=</w:t>
      </w:r>
      <w:proofErr w:type="gramEnd"/>
      <w:r>
        <w:rPr>
          <w:rFonts w:ascii="Arial" w:hAnsi="Arial" w:cs="Arial"/>
        </w:rPr>
        <w:t>  </w:t>
      </w:r>
      <w:r>
        <w:t>0,015), самообслуживанием (p</w:t>
      </w:r>
      <w:r>
        <w:rPr>
          <w:rFonts w:ascii="Arial" w:hAnsi="Arial" w:cs="Arial"/>
        </w:rPr>
        <w:t>  </w:t>
      </w:r>
      <w:r>
        <w:t>&lt;</w:t>
      </w:r>
      <w:r>
        <w:rPr>
          <w:rFonts w:ascii="Arial" w:hAnsi="Arial" w:cs="Arial"/>
        </w:rPr>
        <w:t>  </w:t>
      </w:r>
      <w:r>
        <w:t>0,001), с повседневной активностью (p</w:t>
      </w:r>
      <w:r>
        <w:rPr>
          <w:rFonts w:ascii="Arial" w:hAnsi="Arial" w:cs="Arial"/>
        </w:rPr>
        <w:t>  </w:t>
      </w:r>
      <w:r>
        <w:t>&lt;</w:t>
      </w:r>
      <w:r>
        <w:rPr>
          <w:rFonts w:ascii="Arial" w:hAnsi="Arial" w:cs="Arial"/>
        </w:rPr>
        <w:t>  </w:t>
      </w:r>
      <w:r>
        <w:t>0,001), а также мучительные боли либо дискомфорт (p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0,004). Занятость уменьшала частоту встречаемости альбуминурии (</w:t>
      </w:r>
      <w:proofErr w:type="gramStart"/>
      <w:r>
        <w:t>p</w:t>
      </w:r>
      <w:r>
        <w:rPr>
          <w:rFonts w:ascii="Arial" w:hAnsi="Arial" w:cs="Arial"/>
        </w:rPr>
        <w:t>  </w:t>
      </w:r>
      <w:r>
        <w:t>=</w:t>
      </w:r>
      <w:proofErr w:type="gramEnd"/>
      <w:r>
        <w:rPr>
          <w:rFonts w:ascii="Arial" w:hAnsi="Arial" w:cs="Arial"/>
        </w:rPr>
        <w:t>  </w:t>
      </w:r>
      <w:r>
        <w:t xml:space="preserve">0,043), низкая и средняя степени употребления алкоголя оказывали </w:t>
      </w:r>
      <w:proofErr w:type="spellStart"/>
      <w:r>
        <w:t>антипротеинурический</w:t>
      </w:r>
      <w:proofErr w:type="spellEnd"/>
      <w:r>
        <w:t xml:space="preserve"> эффект (p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0,003), низкая физическая активность являлась предиктором МАУ (p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0,011). Увеличение возраста сопровождалось снижением СКФ (</w:t>
      </w:r>
      <w:proofErr w:type="gramStart"/>
      <w:r>
        <w:t>p</w:t>
      </w:r>
      <w:r>
        <w:rPr>
          <w:rFonts w:ascii="Arial" w:hAnsi="Arial" w:cs="Arial"/>
        </w:rPr>
        <w:t>  </w:t>
      </w:r>
      <w:r>
        <w:t>&lt;</w:t>
      </w:r>
      <w:proofErr w:type="gramEnd"/>
      <w:r>
        <w:rPr>
          <w:rFonts w:ascii="Arial" w:hAnsi="Arial" w:cs="Arial"/>
        </w:rPr>
        <w:t>  </w:t>
      </w:r>
      <w:r>
        <w:t>0,001), наличие у отцов пациентов стенокардии и инфаркта миокарда оказывало существенное влияние на снижение функции почек (p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0,031). У большинства пациентов со сниженной СКФ отмечались избыточная масса тела и ожирение (</w:t>
      </w:r>
      <w:proofErr w:type="gramStart"/>
      <w:r>
        <w:t>p</w:t>
      </w:r>
      <w:r>
        <w:rPr>
          <w:rFonts w:ascii="Arial" w:hAnsi="Arial" w:cs="Arial"/>
        </w:rPr>
        <w:t>  </w:t>
      </w:r>
      <w:r>
        <w:t>&lt;</w:t>
      </w:r>
      <w:proofErr w:type="gramEnd"/>
      <w:r>
        <w:rPr>
          <w:rFonts w:ascii="Arial" w:hAnsi="Arial" w:cs="Arial"/>
        </w:rPr>
        <w:t>  </w:t>
      </w:r>
      <w:r>
        <w:t>0,001), при этом, в основном, они находились в состоянии стресса среднего и высокого уровня (p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0,003). У пациентов с </w:t>
      </w:r>
      <w:proofErr w:type="gramStart"/>
      <w:r>
        <w:t>СКФ</w:t>
      </w:r>
      <w:r>
        <w:rPr>
          <w:rFonts w:ascii="Arial" w:hAnsi="Arial" w:cs="Arial"/>
        </w:rPr>
        <w:t>  </w:t>
      </w:r>
      <w:r>
        <w:t>&lt;</w:t>
      </w:r>
      <w:proofErr w:type="gramEnd"/>
      <w:r>
        <w:rPr>
          <w:rFonts w:ascii="Arial" w:hAnsi="Arial" w:cs="Arial"/>
        </w:rPr>
        <w:t>  </w:t>
      </w:r>
      <w:r>
        <w:t xml:space="preserve">60 мл/мин наблюдались высокая </w:t>
      </w:r>
      <w:proofErr w:type="spellStart"/>
      <w:r>
        <w:t>креатининемия</w:t>
      </w:r>
      <w:proofErr w:type="spellEnd"/>
      <w:r>
        <w:t xml:space="preserve"> и МАУ (p</w:t>
      </w:r>
      <w:r>
        <w:rPr>
          <w:rFonts w:ascii="Arial" w:hAnsi="Arial" w:cs="Arial"/>
        </w:rPr>
        <w:t>  </w:t>
      </w:r>
      <w:r>
        <w:t>&lt;</w:t>
      </w:r>
      <w:r>
        <w:rPr>
          <w:rFonts w:ascii="Arial" w:hAnsi="Arial" w:cs="Arial"/>
        </w:rPr>
        <w:t>  </w:t>
      </w:r>
      <w:r>
        <w:t>0,001); снижение СКФ способствовало увеличению определенных проблем с самообслуживанием (p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0,020).</w:t>
      </w:r>
    </w:p>
    <w:p w:rsidR="00607886" w:rsidRDefault="00607886" w:rsidP="00607886">
      <w:r w:rsidRPr="00607886">
        <w:rPr>
          <w:rFonts w:ascii="DINPro-Bold" w:hAnsi="DINPro-Bold" w:cs="DINPro-Bold"/>
          <w:b/>
          <w:bCs/>
        </w:rPr>
        <w:t>Заключение.</w:t>
      </w:r>
      <w:r>
        <w:rPr>
          <w:rFonts w:ascii="DINPro-Bold" w:hAnsi="DINPro-Bold" w:cs="DINPro-Bold"/>
          <w:b/>
          <w:bCs/>
          <w:i/>
          <w:iCs/>
        </w:rPr>
        <w:t xml:space="preserve"> </w:t>
      </w:r>
      <w:r>
        <w:t>У 7,9</w:t>
      </w:r>
      <w:r>
        <w:rPr>
          <w:rFonts w:ascii="Arial" w:hAnsi="Arial" w:cs="Arial"/>
        </w:rPr>
        <w:t> </w:t>
      </w:r>
      <w:r>
        <w:t xml:space="preserve">% пациентов с СД2 выявлено снижение </w:t>
      </w:r>
      <w:proofErr w:type="gramStart"/>
      <w:r>
        <w:t>СКФ</w:t>
      </w:r>
      <w:r>
        <w:rPr>
          <w:rFonts w:ascii="Arial" w:hAnsi="Arial" w:cs="Arial"/>
        </w:rPr>
        <w:t>  </w:t>
      </w:r>
      <w:r>
        <w:t>&lt;</w:t>
      </w:r>
      <w:proofErr w:type="gramEnd"/>
      <w:r>
        <w:rPr>
          <w:rFonts w:ascii="Arial" w:hAnsi="Arial" w:cs="Arial"/>
        </w:rPr>
        <w:t>  </w:t>
      </w:r>
      <w:r>
        <w:t>60 мл/мин, а у 35,7</w:t>
      </w:r>
      <w:r>
        <w:rPr>
          <w:rFonts w:ascii="Arial" w:hAnsi="Arial" w:cs="Arial"/>
        </w:rPr>
        <w:t> </w:t>
      </w:r>
      <w:r>
        <w:t>%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 xml:space="preserve">МАУ, определены общие и отдельные факторы риска МАУ и снижения СКФ. Проведение планомерных </w:t>
      </w:r>
      <w:proofErr w:type="spellStart"/>
      <w:r>
        <w:t>скринингов</w:t>
      </w:r>
      <w:proofErr w:type="spellEnd"/>
      <w:r>
        <w:t xml:space="preserve"> для их раннего выявления позволит предотвратить прогрессирование ХБП.</w:t>
      </w:r>
    </w:p>
    <w:p w:rsidR="00607886" w:rsidRDefault="00607886" w:rsidP="00607886">
      <w:bookmarkStart w:id="0" w:name="_GoBack"/>
      <w:r w:rsidRPr="00607886">
        <w:rPr>
          <w:rFonts w:ascii="DINPro-Bold" w:hAnsi="DINPro-Bold" w:cs="DINPro-Bold"/>
          <w:b/>
          <w:bCs/>
        </w:rPr>
        <w:t>Ключевые слова</w:t>
      </w:r>
      <w:r w:rsidRPr="00607886">
        <w:t>:</w:t>
      </w:r>
      <w:r>
        <w:t xml:space="preserve"> </w:t>
      </w:r>
      <w:bookmarkEnd w:id="0"/>
      <w:r>
        <w:t xml:space="preserve">сахарный диабет 2 типа, хроническая болезнь почек, </w:t>
      </w:r>
      <w:proofErr w:type="spellStart"/>
      <w:r>
        <w:t>микроальбуминурия</w:t>
      </w:r>
      <w:proofErr w:type="spellEnd"/>
      <w:r>
        <w:t>, факторы риска.</w:t>
      </w:r>
    </w:p>
    <w:p w:rsidR="006F3E07" w:rsidRPr="00607886" w:rsidRDefault="006F3E07" w:rsidP="00607886"/>
    <w:sectPr w:rsidR="006F3E07" w:rsidRPr="00607886" w:rsidSect="006504F7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94"/>
    <w:rsid w:val="00321194"/>
    <w:rsid w:val="00607886"/>
    <w:rsid w:val="006F3E07"/>
    <w:rsid w:val="00BB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A3F89"/>
  <w15:chartTrackingRefBased/>
  <w15:docId w15:val="{5BBE0547-41EB-4E39-A2B0-B6BEA90B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321194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sup">
    <w:name w:val="sup"/>
    <w:uiPriority w:val="99"/>
    <w:rsid w:val="00321194"/>
    <w:rPr>
      <w:vertAlign w:val="superscript"/>
    </w:rPr>
  </w:style>
  <w:style w:type="paragraph" w:styleId="a3">
    <w:name w:val="No Spacing"/>
    <w:uiPriority w:val="1"/>
    <w:qFormat/>
    <w:rsid w:val="00BB2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2020-02-11T04:10:00Z</dcterms:created>
  <dcterms:modified xsi:type="dcterms:W3CDTF">2020-02-11T04:10:00Z</dcterms:modified>
</cp:coreProperties>
</file>